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jc w:val="center"/>
        <w:rPr>
          <w:b/>
          <w:b/>
          <w:bCs/>
          <w:sz w:val="24"/>
          <w:szCs w:val="24"/>
        </w:rPr>
      </w:pPr>
      <w:r>
        <w:rPr>
          <w:b/>
          <w:bCs/>
          <w:sz w:val="24"/>
          <w:szCs w:val="24"/>
        </w:rPr>
        <w:t>EMENDA À DESPESA Nº 57/2024</w:t>
      </w:r>
    </w:p>
    <w:p>
      <w:pPr>
        <w:pStyle w:val="Normal"/>
        <w:spacing w:lineRule="auto" w:line="240" w:before="0" w:after="0"/>
        <w:jc w:val="center"/>
        <w:rPr>
          <w:b/>
          <w:b/>
          <w:bCs/>
          <w:sz w:val="24"/>
          <w:szCs w:val="24"/>
        </w:rPr>
      </w:pPr>
      <w:r>
        <w:rPr>
          <w:b/>
          <w:bCs/>
          <w:sz w:val="24"/>
          <w:szCs w:val="24"/>
        </w:rPr>
        <w:t>PROJETO DE LEI ORÇAMENTÁRIA PARA O EXERCÍCIO FINANCEIRO DE 2025</w:t>
      </w:r>
    </w:p>
    <w:p>
      <w:pPr>
        <w:pStyle w:val="Normal"/>
        <w:spacing w:lineRule="auto" w:line="240" w:before="0" w:after="0"/>
        <w:jc w:val="center"/>
        <w:rPr>
          <w:b/>
          <w:b/>
          <w:bCs/>
          <w:sz w:val="24"/>
          <w:szCs w:val="24"/>
        </w:rPr>
      </w:pPr>
      <w:r>
        <w:rPr>
          <w:b/>
          <w:bCs/>
          <w:sz w:val="24"/>
          <w:szCs w:val="24"/>
        </w:rPr>
      </w:r>
    </w:p>
    <w:tbl>
      <w:tblPr>
        <w:tblW w:w="8221"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6007"/>
        <w:gridCol w:w="508"/>
        <w:gridCol w:w="1706"/>
      </w:tblGrid>
      <w:tr>
        <w:trPr/>
        <w:tc>
          <w:tcPr>
            <w:tcW w:w="8221"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sz w:val="24"/>
                <w:szCs w:val="24"/>
              </w:rPr>
            </w:pPr>
            <w:r>
              <w:rPr>
                <w:b/>
                <w:bCs/>
                <w:sz w:val="24"/>
                <w:szCs w:val="24"/>
              </w:rPr>
              <w:t>Projeto de Lei nº 75/2024 (LOA 2025)</w:t>
            </w:r>
          </w:p>
        </w:tc>
      </w:tr>
      <w:tr>
        <w:trPr/>
        <w:tc>
          <w:tcPr>
            <w:tcW w:w="6007"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b/>
                <w:b/>
                <w:bCs/>
                <w:sz w:val="24"/>
                <w:szCs w:val="24"/>
              </w:rPr>
            </w:pPr>
            <w:r>
              <w:rPr>
                <w:b/>
                <w:bCs/>
                <w:sz w:val="24"/>
                <w:szCs w:val="24"/>
              </w:rPr>
              <w:t>Tipo de Emenda</w:t>
            </w:r>
          </w:p>
        </w:tc>
        <w:tc>
          <w:tcPr>
            <w:tcW w:w="50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sz w:val="24"/>
                <w:szCs w:val="24"/>
              </w:rPr>
            </w:pPr>
            <w:r>
              <w:rPr>
                <w:sz w:val="24"/>
                <w:szCs w:val="24"/>
              </w:rPr>
            </w:r>
          </w:p>
        </w:tc>
        <w:tc>
          <w:tcPr>
            <w:tcW w:w="170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b/>
                <w:b/>
                <w:bCs/>
                <w:sz w:val="24"/>
                <w:szCs w:val="24"/>
              </w:rPr>
            </w:pPr>
            <w:r>
              <w:rPr>
                <w:b/>
                <w:bCs/>
                <w:sz w:val="24"/>
                <w:szCs w:val="24"/>
              </w:rPr>
              <w:t>Individual</w:t>
            </w:r>
          </w:p>
        </w:tc>
      </w:tr>
      <w:tr>
        <w:trPr/>
        <w:tc>
          <w:tcPr>
            <w:tcW w:w="6007"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sz w:val="24"/>
                <w:szCs w:val="24"/>
              </w:rPr>
            </w:pPr>
            <w:r>
              <w:rPr>
                <w:sz w:val="24"/>
                <w:szCs w:val="24"/>
              </w:rPr>
            </w:r>
          </w:p>
        </w:tc>
        <w:tc>
          <w:tcPr>
            <w:tcW w:w="50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sz w:val="24"/>
                <w:szCs w:val="24"/>
              </w:rPr>
            </w:pPr>
            <w:r>
              <w:rPr>
                <w:sz w:val="24"/>
                <w:szCs w:val="24"/>
              </w:rPr>
              <w:t>X</w:t>
            </w:r>
          </w:p>
        </w:tc>
        <w:tc>
          <w:tcPr>
            <w:tcW w:w="170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b/>
                <w:b/>
                <w:bCs/>
                <w:sz w:val="24"/>
                <w:szCs w:val="24"/>
              </w:rPr>
            </w:pPr>
            <w:r>
              <w:rPr>
                <w:b/>
                <w:bCs/>
                <w:sz w:val="24"/>
                <w:szCs w:val="24"/>
              </w:rPr>
              <w:t>De Bancada</w:t>
            </w:r>
          </w:p>
        </w:tc>
      </w:tr>
      <w:tr>
        <w:trPr/>
        <w:tc>
          <w:tcPr>
            <w:tcW w:w="6007"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sz w:val="24"/>
                <w:szCs w:val="24"/>
              </w:rPr>
            </w:pPr>
            <w:r>
              <w:rPr>
                <w:sz w:val="24"/>
                <w:szCs w:val="24"/>
              </w:rPr>
            </w:r>
          </w:p>
        </w:tc>
        <w:tc>
          <w:tcPr>
            <w:tcW w:w="50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sz w:val="24"/>
                <w:szCs w:val="24"/>
              </w:rPr>
            </w:pPr>
            <w:r>
              <w:rPr>
                <w:sz w:val="24"/>
                <w:szCs w:val="24"/>
              </w:rPr>
            </w:r>
          </w:p>
        </w:tc>
        <w:tc>
          <w:tcPr>
            <w:tcW w:w="170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b/>
                <w:b/>
                <w:bCs/>
                <w:sz w:val="24"/>
                <w:szCs w:val="24"/>
              </w:rPr>
            </w:pPr>
            <w:r>
              <w:rPr>
                <w:b/>
                <w:bCs/>
                <w:sz w:val="24"/>
                <w:szCs w:val="24"/>
              </w:rPr>
              <w:t>De Comissão</w:t>
            </w:r>
          </w:p>
        </w:tc>
      </w:tr>
      <w:tr>
        <w:trPr/>
        <w:tc>
          <w:tcPr>
            <w:tcW w:w="6007"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sz w:val="24"/>
                <w:szCs w:val="24"/>
              </w:rPr>
            </w:pPr>
            <w:r>
              <w:rPr>
                <w:sz w:val="24"/>
                <w:szCs w:val="24"/>
              </w:rPr>
            </w:r>
          </w:p>
        </w:tc>
        <w:tc>
          <w:tcPr>
            <w:tcW w:w="50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sz w:val="24"/>
                <w:szCs w:val="24"/>
              </w:rPr>
            </w:pPr>
            <w:r>
              <w:rPr>
                <w:sz w:val="24"/>
                <w:szCs w:val="24"/>
              </w:rPr>
            </w:r>
          </w:p>
        </w:tc>
        <w:tc>
          <w:tcPr>
            <w:tcW w:w="170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center"/>
              <w:rPr>
                <w:b/>
                <w:b/>
                <w:bCs/>
                <w:sz w:val="24"/>
                <w:szCs w:val="24"/>
              </w:rPr>
            </w:pPr>
            <w:r>
              <w:rPr>
                <w:b/>
                <w:bCs/>
                <w:sz w:val="24"/>
                <w:szCs w:val="24"/>
              </w:rPr>
              <w:t>De Relatoria</w:t>
            </w:r>
          </w:p>
        </w:tc>
      </w:tr>
    </w:tbl>
    <w:p>
      <w:pPr>
        <w:pStyle w:val="Normal"/>
        <w:spacing w:lineRule="auto" w:line="240" w:before="0" w:after="0"/>
        <w:jc w:val="center"/>
        <w:rPr>
          <w:sz w:val="24"/>
          <w:szCs w:val="24"/>
        </w:rPr>
      </w:pPr>
      <w:r>
        <w:rPr>
          <w:sz w:val="24"/>
          <w:szCs w:val="24"/>
        </w:rPr>
      </w:r>
    </w:p>
    <w:p>
      <w:pPr>
        <w:pStyle w:val="Normal"/>
        <w:spacing w:lineRule="auto" w:line="240" w:before="0" w:after="0"/>
        <w:jc w:val="center"/>
        <w:rPr>
          <w:sz w:val="24"/>
          <w:szCs w:val="24"/>
        </w:rPr>
      </w:pPr>
      <w:r>
        <w:rPr>
          <w:sz w:val="24"/>
          <w:szCs w:val="24"/>
        </w:rPr>
      </w:r>
    </w:p>
    <w:tbl>
      <w:tblPr>
        <w:tblW w:w="8244" w:type="dxa"/>
        <w:jc w:val="left"/>
        <w:tblInd w:w="250" w:type="dxa"/>
        <w:tblLayout w:type="fixed"/>
        <w:tblCellMar>
          <w:top w:w="0" w:type="dxa"/>
          <w:left w:w="108" w:type="dxa"/>
          <w:bottom w:w="0" w:type="dxa"/>
          <w:right w:w="108" w:type="dxa"/>
        </w:tblCellMar>
        <w:tblLook w:firstRow="1" w:noVBand="1" w:lastRow="0" w:firstColumn="1" w:lastColumn="0" w:noHBand="0" w:val="04a0"/>
      </w:tblPr>
      <w:tblGrid>
        <w:gridCol w:w="2154"/>
        <w:gridCol w:w="6089"/>
      </w:tblGrid>
      <w:tr>
        <w:trPr/>
        <w:tc>
          <w:tcPr>
            <w:tcW w:w="215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lineRule="auto" w:line="240" w:before="0" w:after="0"/>
              <w:jc w:val="center"/>
              <w:rPr>
                <w:b/>
                <w:b/>
                <w:bCs/>
                <w:sz w:val="24"/>
                <w:szCs w:val="24"/>
              </w:rPr>
            </w:pPr>
            <w:r>
              <w:rPr>
                <w:b/>
                <w:bCs/>
                <w:sz w:val="24"/>
                <w:szCs w:val="24"/>
              </w:rPr>
              <w:t>Autores da Emenda</w:t>
            </w:r>
          </w:p>
        </w:tc>
        <w:tc>
          <w:tcPr>
            <w:tcW w:w="608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sz w:val="24"/>
                <w:szCs w:val="24"/>
              </w:rPr>
            </w:pPr>
            <w:r>
              <w:rPr>
                <w:sz w:val="24"/>
                <w:szCs w:val="24"/>
              </w:rPr>
            </w:r>
          </w:p>
          <w:p>
            <w:pPr>
              <w:pStyle w:val="Normal"/>
              <w:widowControl w:val="false"/>
              <w:spacing w:lineRule="auto" w:line="240" w:before="0" w:after="0"/>
              <w:jc w:val="center"/>
              <w:rPr>
                <w:sz w:val="24"/>
                <w:szCs w:val="24"/>
              </w:rPr>
            </w:pPr>
            <w:r>
              <w:rPr>
                <w:sz w:val="24"/>
                <w:szCs w:val="24"/>
              </w:rPr>
              <w:t>BANCADA DO PSDB</w:t>
            </w:r>
          </w:p>
          <w:p>
            <w:pPr>
              <w:pStyle w:val="Normal"/>
              <w:widowControl w:val="false"/>
              <w:spacing w:lineRule="auto" w:line="240" w:before="0" w:after="0"/>
              <w:jc w:val="center"/>
              <w:rPr>
                <w:sz w:val="24"/>
                <w:szCs w:val="24"/>
              </w:rPr>
            </w:pPr>
            <w:r>
              <w:rPr>
                <w:sz w:val="24"/>
                <w:szCs w:val="24"/>
              </w:rPr>
            </w:r>
          </w:p>
        </w:tc>
      </w:tr>
    </w:tbl>
    <w:p>
      <w:pPr>
        <w:pStyle w:val="Normal"/>
        <w:spacing w:lineRule="auto" w:line="240" w:before="0" w:after="0"/>
        <w:jc w:val="center"/>
        <w:rPr>
          <w:sz w:val="24"/>
          <w:szCs w:val="24"/>
        </w:rPr>
      </w:pPr>
      <w:r>
        <w:rPr>
          <w:sz w:val="24"/>
          <w:szCs w:val="24"/>
        </w:rPr>
      </w:r>
    </w:p>
    <w:p>
      <w:pPr>
        <w:pStyle w:val="Normal"/>
        <w:spacing w:lineRule="auto" w:line="240" w:before="0" w:after="0"/>
        <w:jc w:val="center"/>
        <w:rPr>
          <w:sz w:val="24"/>
          <w:szCs w:val="24"/>
        </w:rPr>
      </w:pPr>
      <w:r>
        <w:rPr>
          <w:sz w:val="24"/>
          <w:szCs w:val="24"/>
        </w:rPr>
      </w:r>
    </w:p>
    <w:p>
      <w:pPr>
        <w:pStyle w:val="Normal"/>
        <w:spacing w:lineRule="auto" w:line="240" w:before="0" w:after="0"/>
        <w:jc w:val="both"/>
        <w:rPr>
          <w:b/>
          <w:b/>
          <w:bCs/>
          <w:sz w:val="24"/>
          <w:szCs w:val="24"/>
        </w:rPr>
      </w:pPr>
      <w:r>
        <w:rPr>
          <w:b/>
          <w:bCs/>
          <w:sz w:val="24"/>
          <w:szCs w:val="24"/>
        </w:rPr>
        <w:t>1 – Identificação dos valores a serem acrescidos:</w:t>
      </w:r>
    </w:p>
    <w:tbl>
      <w:tblPr>
        <w:tblW w:w="8244" w:type="dxa"/>
        <w:jc w:val="left"/>
        <w:tblInd w:w="250" w:type="dxa"/>
        <w:tblLayout w:type="fixed"/>
        <w:tblCellMar>
          <w:top w:w="0" w:type="dxa"/>
          <w:left w:w="108" w:type="dxa"/>
          <w:bottom w:w="0" w:type="dxa"/>
          <w:right w:w="108" w:type="dxa"/>
        </w:tblCellMar>
        <w:tblLook w:firstRow="1" w:noVBand="1" w:lastRow="0" w:firstColumn="1" w:lastColumn="0" w:noHBand="0" w:val="04a0"/>
      </w:tblPr>
      <w:tblGrid>
        <w:gridCol w:w="3117"/>
        <w:gridCol w:w="5126"/>
      </w:tblGrid>
      <w:tr>
        <w:trPr/>
        <w:tc>
          <w:tcPr>
            <w:tcW w:w="31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pPr>
            <w:r>
              <w:rPr>
                <w:sz w:val="24"/>
                <w:szCs w:val="24"/>
              </w:rPr>
              <w:t>Órgão</w:t>
            </w:r>
          </w:p>
        </w:tc>
        <w:tc>
          <w:tcPr>
            <w:tcW w:w="51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pPr>
            <w:r>
              <w:rPr>
                <w:b/>
                <w:bCs/>
                <w:color w:val="000000" w:themeColor="text1"/>
                <w:sz w:val="24"/>
                <w:szCs w:val="24"/>
                <w:shd w:fill="FFFFFF" w:val="clear"/>
              </w:rPr>
              <w:t>08.000</w:t>
            </w:r>
          </w:p>
        </w:tc>
      </w:tr>
      <w:tr>
        <w:trPr/>
        <w:tc>
          <w:tcPr>
            <w:tcW w:w="31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pPr>
            <w:r>
              <w:rPr>
                <w:sz w:val="24"/>
                <w:szCs w:val="24"/>
              </w:rPr>
              <w:t>Unidade Orçamentária</w:t>
            </w:r>
          </w:p>
        </w:tc>
        <w:tc>
          <w:tcPr>
            <w:tcW w:w="51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pPr>
            <w:r>
              <w:rPr>
                <w:b/>
                <w:bCs/>
                <w:sz w:val="24"/>
                <w:szCs w:val="24"/>
              </w:rPr>
              <w:t>08.007</w:t>
            </w:r>
          </w:p>
        </w:tc>
      </w:tr>
      <w:tr>
        <w:trPr/>
        <w:tc>
          <w:tcPr>
            <w:tcW w:w="31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pPr>
            <w:r>
              <w:rPr>
                <w:sz w:val="24"/>
                <w:szCs w:val="24"/>
              </w:rPr>
              <w:t>Função</w:t>
            </w:r>
          </w:p>
        </w:tc>
        <w:tc>
          <w:tcPr>
            <w:tcW w:w="51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pPr>
            <w:r>
              <w:rPr>
                <w:b/>
                <w:bCs/>
                <w:sz w:val="24"/>
                <w:szCs w:val="24"/>
              </w:rPr>
              <w:t>13</w:t>
            </w:r>
          </w:p>
        </w:tc>
      </w:tr>
      <w:tr>
        <w:trPr/>
        <w:tc>
          <w:tcPr>
            <w:tcW w:w="31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pPr>
            <w:r>
              <w:rPr>
                <w:sz w:val="24"/>
                <w:szCs w:val="24"/>
              </w:rPr>
              <w:t>Subfunção</w:t>
            </w:r>
          </w:p>
        </w:tc>
        <w:tc>
          <w:tcPr>
            <w:tcW w:w="51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pPr>
            <w:r>
              <w:rPr>
                <w:b/>
                <w:bCs/>
                <w:sz w:val="24"/>
                <w:szCs w:val="24"/>
              </w:rPr>
              <w:t>13.392</w:t>
            </w:r>
          </w:p>
        </w:tc>
      </w:tr>
      <w:tr>
        <w:trPr/>
        <w:tc>
          <w:tcPr>
            <w:tcW w:w="31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pPr>
            <w:r>
              <w:rPr>
                <w:sz w:val="24"/>
                <w:szCs w:val="24"/>
              </w:rPr>
              <w:t>Programa</w:t>
            </w:r>
          </w:p>
        </w:tc>
        <w:tc>
          <w:tcPr>
            <w:tcW w:w="51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pPr>
            <w:r>
              <w:rPr>
                <w:b/>
                <w:bCs/>
                <w:color w:val="000000" w:themeColor="text1"/>
                <w:sz w:val="24"/>
                <w:szCs w:val="24"/>
                <w:shd w:fill="FFFFFF" w:val="clear"/>
              </w:rPr>
              <w:t>151 - DESENVOLVIMENTO DA CULTURA</w:t>
            </w:r>
          </w:p>
        </w:tc>
      </w:tr>
      <w:tr>
        <w:trPr/>
        <w:tc>
          <w:tcPr>
            <w:tcW w:w="31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pPr>
            <w:r>
              <w:rPr>
                <w:sz w:val="24"/>
                <w:szCs w:val="24"/>
              </w:rPr>
              <w:t>Ação</w:t>
            </w:r>
          </w:p>
        </w:tc>
        <w:tc>
          <w:tcPr>
            <w:tcW w:w="51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color w:val="000000" w:themeColor="text1"/>
              </w:rPr>
            </w:pPr>
            <w:r>
              <w:rPr>
                <w:b/>
                <w:bCs/>
                <w:color w:val="000000" w:themeColor="text1"/>
                <w:sz w:val="24"/>
                <w:szCs w:val="24"/>
              </w:rPr>
              <w:t>13.392.151.0.009 - APOIO A ENTIDADES CULTURAIS (SUBVENÇÕES, CONTRIBUIÇÕES OU</w:t>
            </w:r>
          </w:p>
        </w:tc>
      </w:tr>
      <w:tr>
        <w:trPr/>
        <w:tc>
          <w:tcPr>
            <w:tcW w:w="31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pPr>
            <w:r>
              <w:rPr>
                <w:sz w:val="24"/>
                <w:szCs w:val="24"/>
              </w:rPr>
              <w:t>Natureza da Despesa (elemento)</w:t>
            </w:r>
          </w:p>
        </w:tc>
        <w:tc>
          <w:tcPr>
            <w:tcW w:w="51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color w:val="auto"/>
              </w:rPr>
            </w:pPr>
            <w:r>
              <w:rPr>
                <w:b/>
                <w:bCs/>
                <w:color w:val="auto"/>
                <w:sz w:val="24"/>
                <w:szCs w:val="24"/>
              </w:rPr>
              <w:t>4.4.50.42 - Auxílios</w:t>
            </w:r>
          </w:p>
        </w:tc>
      </w:tr>
      <w:tr>
        <w:trPr/>
        <w:tc>
          <w:tcPr>
            <w:tcW w:w="31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pPr>
            <w:r>
              <w:rPr>
                <w:sz w:val="24"/>
                <w:szCs w:val="24"/>
              </w:rPr>
              <w:t>Valor do acréscimo</w:t>
            </w:r>
          </w:p>
        </w:tc>
        <w:tc>
          <w:tcPr>
            <w:tcW w:w="51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pPr>
            <w:r>
              <w:rPr>
                <w:b/>
                <w:bCs/>
                <w:sz w:val="24"/>
                <w:szCs w:val="24"/>
              </w:rPr>
              <w:t>R$ 4</w:t>
            </w:r>
            <w:r>
              <w:rPr>
                <w:rFonts w:cs="Arial"/>
                <w:b/>
                <w:bCs/>
                <w:sz w:val="24"/>
                <w:szCs w:val="24"/>
              </w:rPr>
              <w:t>5.000,00</w:t>
            </w:r>
            <w:bookmarkStart w:id="0" w:name="_GoBack"/>
            <w:bookmarkEnd w:id="0"/>
          </w:p>
        </w:tc>
      </w:tr>
      <w:tr>
        <w:trPr/>
        <w:tc>
          <w:tcPr>
            <w:tcW w:w="311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pPr>
            <w:r>
              <w:rPr>
                <w:sz w:val="24"/>
                <w:szCs w:val="24"/>
              </w:rPr>
              <w:t>Código da fonte de recursos</w:t>
            </w:r>
          </w:p>
        </w:tc>
        <w:tc>
          <w:tcPr>
            <w:tcW w:w="512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pPr>
            <w:r>
              <w:rPr>
                <w:b/>
                <w:bCs/>
                <w:sz w:val="24"/>
                <w:szCs w:val="24"/>
              </w:rPr>
              <w:t>1.500.0000.0000</w:t>
            </w:r>
          </w:p>
        </w:tc>
      </w:tr>
    </w:tbl>
    <w:p>
      <w:pPr>
        <w:pStyle w:val="Normal"/>
        <w:spacing w:lineRule="auto" w:line="240" w:before="0" w:after="0"/>
        <w:jc w:val="both"/>
        <w:rPr>
          <w:b/>
          <w:b/>
          <w:bCs/>
          <w:sz w:val="24"/>
          <w:szCs w:val="24"/>
        </w:rPr>
      </w:pPr>
      <w:r>
        <w:rPr>
          <w:b/>
          <w:bCs/>
          <w:sz w:val="24"/>
          <w:szCs w:val="24"/>
        </w:rPr>
      </w:r>
    </w:p>
    <w:p>
      <w:pPr>
        <w:pStyle w:val="Normal"/>
        <w:spacing w:lineRule="auto" w:line="240" w:before="0" w:after="0"/>
        <w:jc w:val="both"/>
        <w:rPr>
          <w:b/>
          <w:b/>
          <w:bCs/>
          <w:sz w:val="24"/>
          <w:szCs w:val="24"/>
        </w:rPr>
      </w:pPr>
      <w:r>
        <w:rPr>
          <w:b/>
          <w:bCs/>
          <w:sz w:val="24"/>
          <w:szCs w:val="24"/>
        </w:rPr>
      </w:r>
    </w:p>
    <w:p>
      <w:pPr>
        <w:pStyle w:val="Normal"/>
        <w:spacing w:lineRule="auto" w:line="240" w:before="0" w:after="0"/>
        <w:jc w:val="both"/>
        <w:rPr>
          <w:b/>
          <w:b/>
          <w:bCs/>
          <w:sz w:val="24"/>
          <w:szCs w:val="24"/>
        </w:rPr>
      </w:pPr>
      <w:r>
        <w:rPr>
          <w:b/>
          <w:bCs/>
          <w:sz w:val="24"/>
          <w:szCs w:val="24"/>
        </w:rPr>
        <w:t>2 – Identificação dos valores dos cancelamentos compensatórios:</w:t>
      </w:r>
    </w:p>
    <w:tbl>
      <w:tblPr>
        <w:tblW w:w="8244" w:type="dxa"/>
        <w:jc w:val="left"/>
        <w:tblInd w:w="250" w:type="dxa"/>
        <w:tblLayout w:type="fixed"/>
        <w:tblCellMar>
          <w:top w:w="0" w:type="dxa"/>
          <w:left w:w="108" w:type="dxa"/>
          <w:bottom w:w="0" w:type="dxa"/>
          <w:right w:w="108" w:type="dxa"/>
        </w:tblCellMar>
        <w:tblLook w:firstRow="1" w:noVBand="1" w:lastRow="0" w:firstColumn="1" w:lastColumn="0" w:noHBand="0" w:val="04a0"/>
      </w:tblPr>
      <w:tblGrid>
        <w:gridCol w:w="3122"/>
        <w:gridCol w:w="5121"/>
      </w:tblGrid>
      <w:tr>
        <w:trPr/>
        <w:tc>
          <w:tcPr>
            <w:tcW w:w="312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sz w:val="24"/>
                <w:szCs w:val="24"/>
              </w:rPr>
            </w:pPr>
            <w:r>
              <w:rPr>
                <w:sz w:val="24"/>
                <w:szCs w:val="24"/>
              </w:rPr>
              <w:t>Órgão</w:t>
            </w:r>
          </w:p>
        </w:tc>
        <w:tc>
          <w:tcPr>
            <w:tcW w:w="512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b/>
                <w:b/>
                <w:bCs/>
                <w:sz w:val="24"/>
                <w:szCs w:val="24"/>
              </w:rPr>
            </w:pPr>
            <w:r>
              <w:rPr>
                <w:b/>
                <w:bCs/>
                <w:sz w:val="24"/>
                <w:szCs w:val="24"/>
              </w:rPr>
              <w:t>17.000</w:t>
            </w:r>
          </w:p>
        </w:tc>
      </w:tr>
      <w:tr>
        <w:trPr/>
        <w:tc>
          <w:tcPr>
            <w:tcW w:w="312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sz w:val="24"/>
                <w:szCs w:val="24"/>
              </w:rPr>
            </w:pPr>
            <w:r>
              <w:rPr>
                <w:sz w:val="24"/>
                <w:szCs w:val="24"/>
              </w:rPr>
              <w:t>Unidade Orçamentária</w:t>
            </w:r>
          </w:p>
        </w:tc>
        <w:tc>
          <w:tcPr>
            <w:tcW w:w="512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b/>
                <w:b/>
                <w:bCs/>
                <w:sz w:val="24"/>
                <w:szCs w:val="24"/>
              </w:rPr>
            </w:pPr>
            <w:r>
              <w:rPr>
                <w:b/>
                <w:bCs/>
                <w:sz w:val="24"/>
                <w:szCs w:val="24"/>
              </w:rPr>
              <w:t>17.002</w:t>
            </w:r>
          </w:p>
        </w:tc>
      </w:tr>
      <w:tr>
        <w:trPr/>
        <w:tc>
          <w:tcPr>
            <w:tcW w:w="312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sz w:val="24"/>
                <w:szCs w:val="24"/>
              </w:rPr>
            </w:pPr>
            <w:r>
              <w:rPr>
                <w:sz w:val="24"/>
                <w:szCs w:val="24"/>
              </w:rPr>
              <w:t>Função</w:t>
            </w:r>
          </w:p>
        </w:tc>
        <w:tc>
          <w:tcPr>
            <w:tcW w:w="512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b/>
                <w:b/>
                <w:bCs/>
                <w:sz w:val="24"/>
                <w:szCs w:val="24"/>
              </w:rPr>
            </w:pPr>
            <w:r>
              <w:rPr>
                <w:b/>
                <w:bCs/>
                <w:sz w:val="24"/>
                <w:szCs w:val="24"/>
              </w:rPr>
              <w:t>99</w:t>
            </w:r>
          </w:p>
        </w:tc>
      </w:tr>
      <w:tr>
        <w:trPr/>
        <w:tc>
          <w:tcPr>
            <w:tcW w:w="312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sz w:val="24"/>
                <w:szCs w:val="24"/>
              </w:rPr>
            </w:pPr>
            <w:r>
              <w:rPr>
                <w:sz w:val="24"/>
                <w:szCs w:val="24"/>
              </w:rPr>
              <w:t>Subfunção</w:t>
            </w:r>
          </w:p>
        </w:tc>
        <w:tc>
          <w:tcPr>
            <w:tcW w:w="512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b/>
                <w:b/>
                <w:bCs/>
                <w:sz w:val="24"/>
                <w:szCs w:val="24"/>
              </w:rPr>
            </w:pPr>
            <w:r>
              <w:rPr>
                <w:b/>
                <w:bCs/>
                <w:sz w:val="24"/>
                <w:szCs w:val="24"/>
              </w:rPr>
              <w:t>99.999</w:t>
            </w:r>
          </w:p>
        </w:tc>
      </w:tr>
      <w:tr>
        <w:trPr/>
        <w:tc>
          <w:tcPr>
            <w:tcW w:w="312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sz w:val="24"/>
                <w:szCs w:val="24"/>
              </w:rPr>
            </w:pPr>
            <w:r>
              <w:rPr>
                <w:sz w:val="24"/>
                <w:szCs w:val="24"/>
              </w:rPr>
              <w:t>Programa</w:t>
            </w:r>
          </w:p>
        </w:tc>
        <w:tc>
          <w:tcPr>
            <w:tcW w:w="512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b/>
                <w:b/>
                <w:bCs/>
                <w:sz w:val="24"/>
                <w:szCs w:val="24"/>
              </w:rPr>
            </w:pPr>
            <w:r>
              <w:rPr>
                <w:b/>
                <w:bCs/>
                <w:sz w:val="24"/>
                <w:szCs w:val="24"/>
              </w:rPr>
              <w:t>99.999.999</w:t>
            </w:r>
          </w:p>
        </w:tc>
      </w:tr>
      <w:tr>
        <w:trPr/>
        <w:tc>
          <w:tcPr>
            <w:tcW w:w="312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sz w:val="24"/>
                <w:szCs w:val="24"/>
              </w:rPr>
            </w:pPr>
            <w:r>
              <w:rPr>
                <w:sz w:val="24"/>
                <w:szCs w:val="24"/>
              </w:rPr>
              <w:t>Ação</w:t>
            </w:r>
          </w:p>
        </w:tc>
        <w:tc>
          <w:tcPr>
            <w:tcW w:w="512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b/>
                <w:b/>
                <w:bCs/>
                <w:sz w:val="24"/>
                <w:szCs w:val="24"/>
              </w:rPr>
            </w:pPr>
            <w:r>
              <w:rPr>
                <w:b/>
                <w:bCs/>
                <w:sz w:val="24"/>
                <w:szCs w:val="24"/>
              </w:rPr>
              <w:t>99.999.999.0016</w:t>
            </w:r>
          </w:p>
        </w:tc>
      </w:tr>
      <w:tr>
        <w:trPr/>
        <w:tc>
          <w:tcPr>
            <w:tcW w:w="312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sz w:val="24"/>
                <w:szCs w:val="24"/>
              </w:rPr>
            </w:pPr>
            <w:r>
              <w:rPr>
                <w:sz w:val="24"/>
                <w:szCs w:val="24"/>
              </w:rPr>
              <w:t>Natureza da Despesa (elemento)</w:t>
            </w:r>
          </w:p>
        </w:tc>
        <w:tc>
          <w:tcPr>
            <w:tcW w:w="512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b/>
                <w:b/>
                <w:bCs/>
                <w:sz w:val="24"/>
                <w:szCs w:val="24"/>
              </w:rPr>
            </w:pPr>
            <w:r>
              <w:rPr>
                <w:b/>
                <w:bCs/>
                <w:sz w:val="24"/>
                <w:szCs w:val="24"/>
              </w:rPr>
              <w:t>9.9.99.00.00.00.00</w:t>
            </w:r>
          </w:p>
        </w:tc>
      </w:tr>
      <w:tr>
        <w:trPr/>
        <w:tc>
          <w:tcPr>
            <w:tcW w:w="312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sz w:val="24"/>
                <w:szCs w:val="24"/>
              </w:rPr>
            </w:pPr>
            <w:r>
              <w:rPr>
                <w:sz w:val="24"/>
                <w:szCs w:val="24"/>
              </w:rPr>
              <w:t>Valor do acréscimo</w:t>
            </w:r>
          </w:p>
        </w:tc>
        <w:tc>
          <w:tcPr>
            <w:tcW w:w="512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b/>
                <w:b/>
                <w:bCs/>
                <w:sz w:val="24"/>
                <w:szCs w:val="24"/>
              </w:rPr>
            </w:pPr>
            <w:r>
              <w:rPr>
                <w:b/>
                <w:bCs/>
                <w:sz w:val="24"/>
                <w:szCs w:val="24"/>
              </w:rPr>
              <w:t>R$ 45.000,00</w:t>
            </w:r>
          </w:p>
        </w:tc>
      </w:tr>
      <w:tr>
        <w:trPr/>
        <w:tc>
          <w:tcPr>
            <w:tcW w:w="312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sz w:val="24"/>
                <w:szCs w:val="24"/>
              </w:rPr>
            </w:pPr>
            <w:r>
              <w:rPr>
                <w:sz w:val="24"/>
                <w:szCs w:val="24"/>
              </w:rPr>
              <w:t>Código da fonte de recursos</w:t>
            </w:r>
          </w:p>
        </w:tc>
        <w:tc>
          <w:tcPr>
            <w:tcW w:w="512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b/>
                <w:b/>
                <w:bCs/>
                <w:sz w:val="24"/>
                <w:szCs w:val="24"/>
              </w:rPr>
            </w:pPr>
            <w:r>
              <w:rPr>
                <w:b/>
                <w:bCs/>
                <w:sz w:val="24"/>
                <w:szCs w:val="24"/>
              </w:rPr>
              <w:t>1.500.0000.0000</w:t>
            </w:r>
          </w:p>
        </w:tc>
      </w:tr>
    </w:tbl>
    <w:p>
      <w:pPr>
        <w:pStyle w:val="Normal"/>
        <w:spacing w:lineRule="auto" w:line="240" w:before="0" w:after="0"/>
        <w:jc w:val="both"/>
        <w:rPr>
          <w:b/>
          <w:b/>
          <w:bCs/>
          <w:sz w:val="24"/>
          <w:szCs w:val="24"/>
        </w:rPr>
      </w:pPr>
      <w:r>
        <w:rPr>
          <w:b/>
          <w:bCs/>
          <w:sz w:val="24"/>
          <w:szCs w:val="24"/>
        </w:rPr>
      </w:r>
    </w:p>
    <w:p>
      <w:pPr>
        <w:pStyle w:val="Normal"/>
        <w:spacing w:lineRule="auto" w:line="240" w:before="0" w:after="0"/>
        <w:jc w:val="both"/>
        <w:rPr>
          <w:b/>
          <w:b/>
          <w:bCs/>
          <w:sz w:val="24"/>
          <w:szCs w:val="24"/>
        </w:rPr>
      </w:pPr>
      <w:r>
        <w:rPr>
          <w:b/>
          <w:bCs/>
          <w:sz w:val="24"/>
          <w:szCs w:val="24"/>
        </w:rPr>
        <w:t>3 – Beneficiários</w:t>
      </w:r>
    </w:p>
    <w:p>
      <w:pPr>
        <w:pStyle w:val="Normal"/>
        <w:pBdr>
          <w:top w:val="single" w:sz="4" w:space="1" w:color="000000"/>
          <w:left w:val="single" w:sz="4" w:space="0" w:color="000000"/>
          <w:bottom w:val="single" w:sz="4" w:space="1" w:color="000000"/>
          <w:right w:val="single" w:sz="4" w:space="4" w:color="000000"/>
        </w:pBdr>
        <w:tabs>
          <w:tab w:val="clear" w:pos="708"/>
          <w:tab w:val="left" w:pos="7938" w:leader="none"/>
        </w:tabs>
        <w:spacing w:lineRule="auto" w:line="240" w:before="0" w:after="0"/>
        <w:ind w:left="284" w:right="140" w:hanging="0"/>
        <w:jc w:val="both"/>
        <w:rPr>
          <w:sz w:val="24"/>
          <w:szCs w:val="24"/>
        </w:rPr>
      </w:pPr>
      <w:r>
        <w:rPr>
          <w:sz w:val="24"/>
          <w:szCs w:val="24"/>
        </w:rPr>
        <w:t>C.T.G. Missioneiro dos Pampas</w:t>
      </w:r>
    </w:p>
    <w:p>
      <w:pPr>
        <w:pStyle w:val="Normal"/>
        <w:spacing w:lineRule="auto" w:line="240" w:before="0" w:after="0"/>
        <w:jc w:val="both"/>
        <w:rPr>
          <w:b/>
          <w:b/>
          <w:bCs/>
          <w:sz w:val="24"/>
          <w:szCs w:val="24"/>
        </w:rPr>
      </w:pPr>
      <w:r>
        <w:rPr>
          <w:b/>
          <w:bCs/>
          <w:sz w:val="24"/>
          <w:szCs w:val="24"/>
        </w:rPr>
      </w:r>
    </w:p>
    <w:p>
      <w:pPr>
        <w:pStyle w:val="Normal"/>
        <w:spacing w:lineRule="auto" w:line="240" w:before="0" w:after="0"/>
        <w:jc w:val="both"/>
        <w:rPr>
          <w:b/>
          <w:b/>
          <w:bCs/>
          <w:sz w:val="24"/>
          <w:szCs w:val="24"/>
        </w:rPr>
      </w:pPr>
      <w:r>
        <w:rPr>
          <w:b/>
          <w:bCs/>
          <w:sz w:val="24"/>
          <w:szCs w:val="24"/>
        </w:rPr>
        <w:t>4 – Justificativa da emenda:</w:t>
      </w:r>
    </w:p>
    <w:tbl>
      <w:tblPr>
        <w:tblW w:w="8244" w:type="dxa"/>
        <w:jc w:val="left"/>
        <w:tblInd w:w="250" w:type="dxa"/>
        <w:tblLayout w:type="fixed"/>
        <w:tblCellMar>
          <w:top w:w="0" w:type="dxa"/>
          <w:left w:w="108" w:type="dxa"/>
          <w:bottom w:w="0" w:type="dxa"/>
          <w:right w:w="108" w:type="dxa"/>
        </w:tblCellMar>
        <w:tblLook w:firstRow="1" w:noVBand="1" w:lastRow="0" w:firstColumn="1" w:lastColumn="0" w:noHBand="0" w:val="04a0"/>
      </w:tblPr>
      <w:tblGrid>
        <w:gridCol w:w="8244"/>
      </w:tblGrid>
      <w:tr>
        <w:trPr/>
        <w:tc>
          <w:tcPr>
            <w:tcW w:w="824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pPr>
            <w:r>
              <w:rPr>
                <w:color w:val="000000" w:themeColor="text1"/>
                <w:sz w:val="24"/>
                <w:szCs w:val="24"/>
                <w:shd w:fill="FFFFFF" w:val="clear"/>
              </w:rPr>
              <w:t xml:space="preserve">Esta emenda à despesa visa a realocar recursos para repasse financeiro ao CTG Missioneiro dos Pampas, a fim de ampliar o acervo do Museu Nossa História, Nossa Gente, através da aquisição de: </w:t>
            </w:r>
          </w:p>
          <w:p>
            <w:pPr>
              <w:pStyle w:val="Normal"/>
              <w:widowControl w:val="false"/>
              <w:spacing w:lineRule="auto" w:line="240" w:before="0" w:after="0"/>
              <w:jc w:val="both"/>
              <w:rPr/>
            </w:pPr>
            <w:r>
              <w:rPr>
                <w:color w:val="000000" w:themeColor="text1"/>
                <w:sz w:val="24"/>
                <w:szCs w:val="24"/>
                <w:shd w:fill="FFFFFF" w:val="clear"/>
              </w:rPr>
              <w:t>- Dois armários com vidros para colocar os materiais em exposição.</w:t>
            </w:r>
          </w:p>
          <w:p>
            <w:pPr>
              <w:pStyle w:val="Normal"/>
              <w:widowControl w:val="false"/>
              <w:spacing w:lineRule="auto" w:line="240" w:before="0" w:after="0"/>
              <w:jc w:val="both"/>
              <w:rPr/>
            </w:pPr>
            <w:r>
              <w:rPr>
                <w:color w:val="000000" w:themeColor="text1"/>
                <w:sz w:val="24"/>
                <w:szCs w:val="24"/>
                <w:shd w:fill="FFFFFF" w:val="clear"/>
              </w:rPr>
              <w:t>- Duas  telas (televisores) para o uso de transmitir os documentários do acervo do Museu, com estruturas que assegurem sua segurança.</w:t>
            </w:r>
          </w:p>
          <w:p>
            <w:pPr>
              <w:pStyle w:val="Normal"/>
              <w:widowControl w:val="false"/>
              <w:spacing w:lineRule="auto" w:line="240" w:before="0" w:after="0"/>
              <w:jc w:val="both"/>
              <w:rPr/>
            </w:pPr>
            <w:r>
              <w:rPr>
                <w:color w:val="000000" w:themeColor="text1"/>
                <w:sz w:val="24"/>
                <w:szCs w:val="24"/>
                <w:shd w:fill="FFFFFF" w:val="clear"/>
              </w:rPr>
              <w:t>- Três Totem móveis para serem usados no centro do Museu para expor mais materiais.</w:t>
            </w:r>
          </w:p>
          <w:p>
            <w:pPr>
              <w:pStyle w:val="Normal"/>
              <w:widowControl w:val="false"/>
              <w:spacing w:lineRule="auto" w:line="240" w:before="0" w:after="0"/>
              <w:jc w:val="both"/>
              <w:rPr/>
            </w:pPr>
            <w:r>
              <w:rPr>
                <w:color w:val="000000" w:themeColor="text1"/>
                <w:sz w:val="24"/>
                <w:szCs w:val="24"/>
                <w:shd w:fill="FFFFFF" w:val="clear"/>
              </w:rPr>
              <w:t>- Dois climatizadores que melhorem o ambiente para a visitação.</w:t>
            </w:r>
          </w:p>
          <w:p>
            <w:pPr>
              <w:pStyle w:val="Normal"/>
              <w:widowControl w:val="false"/>
              <w:spacing w:lineRule="auto" w:line="240" w:before="0" w:after="0"/>
              <w:jc w:val="both"/>
              <w:rPr/>
            </w:pPr>
            <w:r>
              <w:rPr>
                <w:color w:val="000000" w:themeColor="text1"/>
                <w:sz w:val="24"/>
                <w:szCs w:val="24"/>
                <w:shd w:fill="FFFFFF" w:val="clear"/>
              </w:rPr>
              <w:t>- Melhoria da iluminação do espaço, para que o acervo seja visto com melhor qualidade.</w:t>
            </w:r>
          </w:p>
          <w:p>
            <w:pPr>
              <w:pStyle w:val="Normal"/>
              <w:widowControl w:val="false"/>
              <w:spacing w:lineRule="auto" w:line="240" w:before="0" w:after="0"/>
              <w:jc w:val="both"/>
              <w:rPr>
                <w:color w:val="000000" w:themeColor="text1"/>
                <w:sz w:val="24"/>
                <w:szCs w:val="24"/>
                <w:shd w:fill="FFFFFF" w:val="clear"/>
              </w:rPr>
            </w:pPr>
            <w:r>
              <w:rPr>
                <w:color w:val="000000" w:themeColor="text1"/>
                <w:sz w:val="24"/>
                <w:szCs w:val="24"/>
                <w:shd w:fill="FFFFFF" w:val="clear"/>
              </w:rPr>
            </w:r>
          </w:p>
          <w:p>
            <w:pPr>
              <w:pStyle w:val="Normal"/>
              <w:widowControl w:val="false"/>
              <w:spacing w:lineRule="auto" w:line="240" w:before="0" w:after="0"/>
              <w:jc w:val="both"/>
              <w:rPr/>
            </w:pPr>
            <w:r>
              <w:rPr>
                <w:color w:val="000000" w:themeColor="text1"/>
                <w:sz w:val="24"/>
                <w:szCs w:val="24"/>
                <w:shd w:fill="FFFFFF" w:val="clear"/>
              </w:rPr>
              <w:t>O Projeto do Museu Nossa história, nossa gente, iniciou suas atividades no ano de 2022 com pesquisas da história do CTG Missioneiro dos Pampas, da cidade de Três Passos, destinando, assim, um espaço físico dentro da entidade para manter viva a trajetória de todos que fizeram parte desta importante casa de cultura e tradições do município, incluindo fotografias, banners, troféus, objetos históricos, entre outras recordações, que possam transmitir às futuras gerações as contribuições dos Missioneiros na comunidade três-passense, regional e estadual. O Projeto vem sendo desenvolvido pelo Departamento Cultural da Entidade, com a recuperação da história do CTG, bem como, daqueles que fizeram parte de sua trajetória, suas contribuições para o crescimento da comunidade onde está inserida. Tendo a parceria de todos que já participaram das atividades culturais, artísticas, campeiras e esportivas do Centro de Tradições Gaúchas Missioneiro dos Pampas, única entidade tradicionalista plena do município de Três Passos, que atua junto às crianças, jovens, adultos e terceira idade, agregando e interagindo entre as diferentes gerações.</w:t>
            </w:r>
          </w:p>
          <w:p>
            <w:pPr>
              <w:pStyle w:val="Normal"/>
              <w:widowControl w:val="false"/>
              <w:spacing w:lineRule="auto" w:line="240" w:before="0" w:after="0"/>
              <w:jc w:val="both"/>
              <w:rPr/>
            </w:pPr>
            <w:r>
              <w:rPr>
                <w:color w:val="000000" w:themeColor="text1"/>
                <w:sz w:val="24"/>
                <w:szCs w:val="24"/>
                <w:shd w:fill="FFFFFF" w:val="clear"/>
              </w:rPr>
              <w:t>Desta forma, o Museu busca fortalecer suas funções básicas que são: a preservação, a investigação e a comunicação. E suas finalidades gerais que se remetem à cultura, à educação e ao lazer. Ao lado dessas funções básicas e finalidades gerais, o museu tem funções e finalidades específicas, em sintonia com a sua missão ou a causa para a qual foi criado, evidenciando a importância de termos em nosso município este espaço, que possa crescer e frutificar para as futuras gerações.</w:t>
            </w:r>
          </w:p>
        </w:tc>
      </w:tr>
    </w:tbl>
    <w:p>
      <w:pPr>
        <w:pStyle w:val="Normal"/>
        <w:spacing w:lineRule="auto" w:line="240" w:before="0" w:after="0"/>
        <w:jc w:val="both"/>
        <w:rPr>
          <w:b/>
          <w:b/>
          <w:bCs/>
          <w:sz w:val="24"/>
          <w:szCs w:val="24"/>
        </w:rPr>
      </w:pPr>
      <w:r>
        <w:rPr>
          <w:b/>
          <w:bCs/>
          <w:sz w:val="24"/>
          <w:szCs w:val="24"/>
        </w:rPr>
      </w:r>
    </w:p>
    <w:p>
      <w:pPr>
        <w:pStyle w:val="Normal"/>
        <w:spacing w:lineRule="auto" w:line="240" w:before="0" w:after="0"/>
        <w:jc w:val="right"/>
        <w:rPr/>
      </w:pPr>
      <w:r>
        <w:rPr>
          <w:sz w:val="24"/>
          <w:szCs w:val="24"/>
        </w:rPr>
        <w:t>Três Passos, 14 de novembro de 2024.</w:t>
      </w:r>
    </w:p>
    <w:p>
      <w:pPr>
        <w:pStyle w:val="Normal"/>
        <w:spacing w:lineRule="auto" w:line="240" w:before="0" w:after="0"/>
        <w:jc w:val="right"/>
        <w:rPr>
          <w:b/>
          <w:b/>
          <w:bCs/>
          <w:sz w:val="24"/>
          <w:szCs w:val="24"/>
        </w:rPr>
      </w:pPr>
      <w:r>
        <w:rPr>
          <w:b/>
          <w:bCs/>
          <w:sz w:val="24"/>
          <w:szCs w:val="24"/>
        </w:rPr>
      </w:r>
    </w:p>
    <w:p>
      <w:pPr>
        <w:pStyle w:val="Normal"/>
        <w:spacing w:lineRule="auto" w:line="240" w:before="0" w:after="0"/>
        <w:jc w:val="right"/>
        <w:rPr>
          <w:b/>
          <w:b/>
          <w:bCs/>
          <w:sz w:val="24"/>
          <w:szCs w:val="24"/>
        </w:rPr>
      </w:pPr>
      <w:r>
        <w:rPr>
          <w:b/>
          <w:bCs/>
          <w:sz w:val="24"/>
          <w:szCs w:val="24"/>
        </w:rPr>
      </w:r>
    </w:p>
    <w:tbl>
      <w:tblPr>
        <w:tblStyle w:val="Tabelacomgrade"/>
        <w:tblW w:w="849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2831"/>
        <w:gridCol w:w="2831"/>
        <w:gridCol w:w="2832"/>
      </w:tblGrid>
      <w:tr>
        <w:trPr/>
        <w:tc>
          <w:tcPr>
            <w:tcW w:w="2831" w:type="dxa"/>
            <w:tcBorders>
              <w:top w:val="nil"/>
              <w:left w:val="nil"/>
              <w:bottom w:val="nil"/>
              <w:right w:val="nil"/>
            </w:tcBorders>
          </w:tcPr>
          <w:p>
            <w:pPr>
              <w:pStyle w:val="Normal"/>
              <w:widowControl w:val="false"/>
              <w:suppressAutoHyphens w:val="true"/>
              <w:spacing w:lineRule="auto" w:line="240" w:before="0" w:after="0"/>
              <w:jc w:val="center"/>
              <w:rPr>
                <w:rFonts w:ascii="Calibri" w:hAnsi="Calibri" w:eastAsia="Calibri" w:cs="Times New Roman"/>
                <w:kern w:val="0"/>
                <w:lang w:val="pt-BR" w:bidi="ar-SA"/>
              </w:rPr>
            </w:pPr>
            <w:r>
              <w:rPr>
                <w:rFonts w:eastAsia="Calibri" w:cs="Times New Roman"/>
                <w:kern w:val="0"/>
                <w:sz w:val="24"/>
                <w:szCs w:val="24"/>
                <w:lang w:val="pt-BR" w:bidi="ar-SA"/>
              </w:rPr>
              <w:t>Jair Locatelli</w:t>
            </w:r>
          </w:p>
        </w:tc>
        <w:tc>
          <w:tcPr>
            <w:tcW w:w="2831" w:type="dxa"/>
            <w:tcBorders>
              <w:top w:val="nil"/>
              <w:left w:val="nil"/>
              <w:bottom w:val="nil"/>
              <w:right w:val="nil"/>
            </w:tcBorders>
          </w:tcPr>
          <w:p>
            <w:pPr>
              <w:pStyle w:val="Normal"/>
              <w:widowControl w:val="false"/>
              <w:suppressAutoHyphens w:val="true"/>
              <w:spacing w:lineRule="auto" w:line="240" w:before="0" w:after="0"/>
              <w:jc w:val="center"/>
              <w:rPr>
                <w:rFonts w:ascii="Calibri" w:hAnsi="Calibri" w:eastAsia="Calibri" w:cs="Times New Roman"/>
                <w:kern w:val="0"/>
                <w:lang w:val="pt-BR" w:bidi="ar-SA"/>
              </w:rPr>
            </w:pPr>
            <w:r>
              <w:rPr>
                <w:rFonts w:eastAsia="Calibri" w:cs="Times New Roman"/>
                <w:kern w:val="0"/>
                <w:sz w:val="24"/>
                <w:szCs w:val="24"/>
                <w:lang w:val="pt-BR" w:bidi="ar-SA"/>
              </w:rPr>
              <w:t>Ingomar Sandtner</w:t>
            </w:r>
          </w:p>
        </w:tc>
        <w:tc>
          <w:tcPr>
            <w:tcW w:w="2832" w:type="dxa"/>
            <w:tcBorders>
              <w:top w:val="nil"/>
              <w:left w:val="nil"/>
              <w:bottom w:val="nil"/>
              <w:right w:val="nil"/>
            </w:tcBorders>
          </w:tcPr>
          <w:p>
            <w:pPr>
              <w:pStyle w:val="Normal"/>
              <w:widowControl w:val="false"/>
              <w:suppressAutoHyphens w:val="true"/>
              <w:spacing w:lineRule="auto" w:line="240" w:before="0" w:after="0"/>
              <w:jc w:val="center"/>
              <w:rPr>
                <w:rFonts w:ascii="Calibri" w:hAnsi="Calibri" w:eastAsia="Calibri" w:cs="Times New Roman"/>
                <w:kern w:val="0"/>
                <w:lang w:val="pt-BR" w:bidi="ar-SA"/>
              </w:rPr>
            </w:pPr>
            <w:r>
              <w:rPr>
                <w:rFonts w:eastAsia="Calibri" w:cs="Times New Roman"/>
                <w:kern w:val="0"/>
                <w:sz w:val="24"/>
                <w:szCs w:val="24"/>
                <w:lang w:val="pt-BR" w:bidi="ar-SA"/>
              </w:rPr>
              <w:t>Nader Umar</w:t>
            </w:r>
          </w:p>
        </w:tc>
      </w:tr>
      <w:tr>
        <w:trPr/>
        <w:tc>
          <w:tcPr>
            <w:tcW w:w="8494" w:type="dxa"/>
            <w:gridSpan w:val="3"/>
            <w:tcBorders>
              <w:top w:val="nil"/>
              <w:left w:val="nil"/>
              <w:bottom w:val="nil"/>
              <w:right w:val="nil"/>
            </w:tcBorders>
          </w:tcPr>
          <w:p>
            <w:pPr>
              <w:pStyle w:val="Normal"/>
              <w:widowControl w:val="false"/>
              <w:suppressAutoHyphens w:val="true"/>
              <w:spacing w:lineRule="auto" w:line="240" w:before="0" w:after="0"/>
              <w:jc w:val="center"/>
              <w:rPr>
                <w:b/>
                <w:b/>
                <w:bCs/>
                <w:sz w:val="24"/>
                <w:szCs w:val="24"/>
              </w:rPr>
            </w:pPr>
            <w:r>
              <w:rPr>
                <w:rFonts w:eastAsia="Calibri" w:cs="Times New Roman"/>
                <w:b/>
                <w:bCs/>
                <w:kern w:val="0"/>
                <w:sz w:val="24"/>
                <w:szCs w:val="24"/>
                <w:lang w:val="pt-BR" w:bidi="ar-SA"/>
              </w:rPr>
              <w:t>BANCADA DO PSDB</w:t>
            </w:r>
          </w:p>
        </w:tc>
      </w:tr>
    </w:tbl>
    <w:p>
      <w:pPr>
        <w:pStyle w:val="Normal"/>
        <w:spacing w:lineRule="auto" w:line="240" w:before="0" w:after="0"/>
        <w:jc w:val="right"/>
        <w:rPr>
          <w:b/>
          <w:b/>
          <w:bCs/>
          <w:sz w:val="24"/>
          <w:szCs w:val="24"/>
        </w:rPr>
      </w:pPr>
      <w:r>
        <w:rPr>
          <w:b/>
          <w:bCs/>
          <w:sz w:val="24"/>
          <w:szCs w:val="24"/>
        </w:rPr>
      </w:r>
    </w:p>
    <w:p>
      <w:pPr>
        <w:pStyle w:val="Normal"/>
        <w:spacing w:lineRule="auto" w:line="360" w:before="120" w:after="0"/>
        <w:ind w:firstLine="567"/>
        <w:jc w:val="both"/>
        <w:rPr>
          <w:sz w:val="24"/>
          <w:szCs w:val="24"/>
        </w:rPr>
      </w:pPr>
      <w:r>
        <w:rPr>
          <w:sz w:val="24"/>
          <w:szCs w:val="24"/>
        </w:rPr>
      </w:r>
    </w:p>
    <w:p>
      <w:pPr>
        <w:pStyle w:val="Normal"/>
        <w:spacing w:before="0" w:after="160"/>
        <w:rPr>
          <w:sz w:val="24"/>
          <w:szCs w:val="24"/>
        </w:rPr>
      </w:pPr>
      <w:r>
        <w:rPr/>
      </w:r>
    </w:p>
    <w:sectPr>
      <w:headerReference w:type="default" r:id="rId2"/>
      <w:footerReference w:type="default" r:id="rId3"/>
      <w:type w:val="nextPage"/>
      <w:pgSz w:w="11906" w:h="16838"/>
      <w:pgMar w:left="1701" w:right="1701" w:gutter="0" w:header="708" w:top="1417" w:footer="708" w:bottom="1276"/>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Liberation Sans">
    <w:altName w:val="Arial"/>
    <w:charset w:val="00"/>
    <w:family w:val="roman"/>
    <w:pitch w:val="variable"/>
  </w:font>
  <w:font w:name="Arial Narrow">
    <w:charset w:val="00"/>
    <w:family w:val="roman"/>
    <w:pitch w:val="variable"/>
  </w:font>
  <w:font w:name="Algerian">
    <w:altName w:val="comic"/>
    <w:charset w:val="00"/>
    <w:family w:val="roman"/>
    <w:pitch w:val="variable"/>
  </w:font>
  <w:font w:name="Arial Black">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Rodap"/>
      <w:jc w:val="center"/>
      <w:rPr>
        <w:rFonts w:ascii="Arial Black" w:hAnsi="Arial Black" w:cs="Arial Black"/>
        <w:sz w:val="16"/>
      </w:rPr>
    </w:pPr>
    <w:r>
      <w:rPr>
        <w:rFonts w:cs="Arial Black" w:ascii="Arial Black" w:hAnsi="Arial Black"/>
        <w:sz w:val="16"/>
      </w:rPr>
    </w:r>
  </w:p>
  <w:p>
    <w:pPr>
      <w:pStyle w:val="Rodap"/>
      <w:jc w:val="center"/>
      <w:rPr>
        <w:rFonts w:ascii="Arial Black" w:hAnsi="Arial Black" w:cs="Arial Black"/>
        <w:sz w:val="16"/>
      </w:rPr>
    </w:pPr>
    <w:r>
      <w:rPr>
        <w:rFonts w:cs="Arial Black" w:ascii="Arial Black" w:hAnsi="Arial Black"/>
        <w:sz w:val="16"/>
      </w:rPr>
      <w:t>Rua Salgado Filho, 79  - Três Passos-RS.-  CEP: 98600-000  Fone: (55) 3522 1210</w:t>
    </w:r>
  </w:p>
  <w:p>
    <w:pPr>
      <w:pStyle w:val="Rodap"/>
      <w:jc w:val="center"/>
      <w:rPr>
        <w:rFonts w:ascii="Arial Black" w:hAnsi="Arial Black" w:cs="Arial Black"/>
        <w:sz w:val="16"/>
      </w:rPr>
    </w:pPr>
    <w:r>
      <w:rPr>
        <w:rFonts w:cs="Arial Black" w:ascii="Arial Black" w:hAnsi="Arial Black"/>
        <w:sz w:val="16"/>
      </w:rPr>
      <w:t>E-mail: camara@trespassos.rs.leg.br   Site: www.trespassos.rs.leg.br</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abealho"/>
      <w:rPr>
        <w:sz w:val="20"/>
        <w:lang w:eastAsia="pt-BR"/>
      </w:rPr>
    </w:pPr>
    <w:r>
      <w:drawing>
        <wp:anchor behindDoc="1" distT="0" distB="0" distL="114935" distR="114935" simplePos="0" locked="0" layoutInCell="0" allowOverlap="1" relativeHeight="3">
          <wp:simplePos x="0" y="0"/>
          <wp:positionH relativeFrom="column">
            <wp:posOffset>2301240</wp:posOffset>
          </wp:positionH>
          <wp:positionV relativeFrom="paragraph">
            <wp:posOffset>-325755</wp:posOffset>
          </wp:positionV>
          <wp:extent cx="609600" cy="762000"/>
          <wp:effectExtent l="0" t="0" r="0" b="0"/>
          <wp:wrapSquare wrapText="largest"/>
          <wp:docPr id="1" name="Figura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2" descr=""/>
                  <pic:cNvPicPr>
                    <a:picLocks noChangeAspect="1" noChangeArrowheads="1"/>
                  </pic:cNvPicPr>
                </pic:nvPicPr>
                <pic:blipFill>
                  <a:blip r:embed="rId1"/>
                  <a:srcRect l="15053" t="14753" r="6573" b="12379"/>
                  <a:stretch>
                    <a:fillRect/>
                  </a:stretch>
                </pic:blipFill>
                <pic:spPr bwMode="auto">
                  <a:xfrm>
                    <a:off x="0" y="0"/>
                    <a:ext cx="609600" cy="762000"/>
                  </a:xfrm>
                  <a:prstGeom prst="rect">
                    <a:avLst/>
                  </a:prstGeom>
                </pic:spPr>
              </pic:pic>
            </a:graphicData>
          </a:graphic>
        </wp:anchor>
      </w:drawing>
    </w:r>
    <w:r>
      <w:rPr>
        <w:sz w:val="20"/>
        <w:lang w:eastAsia="pt-BR"/>
      </w:rPr>
      <w:tab/>
    </w:r>
  </w:p>
  <w:p>
    <w:pPr>
      <w:pStyle w:val="Cabealho"/>
      <w:rPr>
        <w:sz w:val="20"/>
        <w:lang w:eastAsia="pt-BR"/>
      </w:rPr>
    </w:pPr>
    <w:r>
      <w:rPr>
        <w:sz w:val="20"/>
        <w:lang w:eastAsia="pt-BR"/>
      </w:rPr>
    </w:r>
  </w:p>
  <w:p>
    <w:pPr>
      <w:pStyle w:val="Cabealho"/>
      <w:jc w:val="center"/>
      <w:rPr>
        <w:sz w:val="20"/>
        <w:lang w:eastAsia="pt-BR"/>
      </w:rPr>
    </w:pPr>
    <w:r>
      <w:rPr>
        <w:sz w:val="20"/>
        <w:lang w:eastAsia="pt-BR"/>
      </w:rPr>
    </w:r>
  </w:p>
  <w:p>
    <w:pPr>
      <w:pStyle w:val="Cabealho"/>
      <w:tabs>
        <w:tab w:val="center" w:pos="0" w:leader="none"/>
        <w:tab w:val="center" w:pos="4252" w:leader="none"/>
        <w:tab w:val="right" w:pos="8504" w:leader="none"/>
      </w:tabs>
      <w:jc w:val="center"/>
      <w:rPr>
        <w:rFonts w:ascii="Arial Narrow" w:hAnsi="Arial Narrow" w:cs="Arial Narrow"/>
        <w:sz w:val="18"/>
        <w:szCs w:val="18"/>
      </w:rPr>
    </w:pPr>
    <w:r>
      <w:rPr>
        <w:rFonts w:cs="Arial Narrow" w:ascii="Arial Narrow" w:hAnsi="Arial Narrow"/>
        <w:sz w:val="18"/>
        <w:szCs w:val="18"/>
      </w:rPr>
      <w:t>Estado do Rio Grande do Sul</w:t>
    </w:r>
  </w:p>
  <w:p>
    <w:pPr>
      <w:pStyle w:val="Cabealho"/>
      <w:tabs>
        <w:tab w:val="center" w:pos="3544" w:leader="none"/>
        <w:tab w:val="center" w:pos="4252" w:leader="none"/>
        <w:tab w:val="right" w:pos="8504" w:leader="none"/>
      </w:tabs>
      <w:jc w:val="center"/>
      <w:rPr>
        <w:rFonts w:ascii="Algerian;comic" w:hAnsi="Algerian;comic" w:cs="Algerian;comic"/>
        <w:b/>
        <w:b/>
        <w:bCs/>
        <w:sz w:val="21"/>
        <w:szCs w:val="21"/>
      </w:rPr>
    </w:pPr>
    <w:r>
      <w:rPr>
        <w:rFonts w:cs="Algerian;comic" w:ascii="Algerian;comic" w:hAnsi="Algerian;comic"/>
        <w:b/>
        <w:bCs/>
        <w:sz w:val="21"/>
        <w:szCs w:val="21"/>
      </w:rPr>
      <w:t>CÂMARA MUNICIPAL DE TRÊS PASSOS</w:t>
    </w:r>
  </w:p>
  <w:p>
    <w:pPr>
      <w:pStyle w:val="Cabealho"/>
      <w:rPr/>
    </w:pPr>
    <w:r>
      <w:rPr/>
    </w:r>
  </w:p>
</w:hdr>
</file>

<file path=word/settings.xml><?xml version="1.0" encoding="utf-8"?>
<w:settings xmlns:w="http://schemas.openxmlformats.org/wordprocessingml/2006/main">
  <w:zoom w:percent="100"/>
  <w:defaultTabStop w:val="708"/>
  <w:autoHyphenation w:val="true"/>
  <w:hyphenationZone w:val="425"/>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pt-BR" w:eastAsia="pt-BR"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ac32b4"/>
    <w:pPr>
      <w:widowControl/>
      <w:suppressAutoHyphens w:val="true"/>
      <w:bidi w:val="0"/>
      <w:spacing w:lineRule="auto" w:line="259" w:before="0" w:after="160"/>
      <w:jc w:val="left"/>
    </w:pPr>
    <w:rPr>
      <w:rFonts w:ascii="Calibri" w:hAnsi="Calibri" w:eastAsia="Calibri" w:cs="Times New Roman"/>
      <w:color w:val="auto"/>
      <w:kern w:val="0"/>
      <w:sz w:val="22"/>
      <w:szCs w:val="22"/>
      <w:lang w:eastAsia="en-US" w:val="pt-BR" w:bidi="ar-SA"/>
    </w:rPr>
  </w:style>
  <w:style w:type="character" w:styleId="DefaultParagraphFont" w:default="1">
    <w:name w:val="Default Paragraph Font"/>
    <w:uiPriority w:val="1"/>
    <w:semiHidden/>
    <w:unhideWhenUsed/>
    <w:qFormat/>
    <w:rPr/>
  </w:style>
  <w:style w:type="character" w:styleId="CabealhoChar" w:customStyle="1">
    <w:name w:val="Cabeçalho Char"/>
    <w:basedOn w:val="DefaultParagraphFont"/>
    <w:uiPriority w:val="99"/>
    <w:qFormat/>
    <w:rsid w:val="00a773fe"/>
    <w:rPr>
      <w:sz w:val="22"/>
      <w:szCs w:val="22"/>
      <w:lang w:eastAsia="en-US"/>
    </w:rPr>
  </w:style>
  <w:style w:type="character" w:styleId="RodapChar" w:customStyle="1">
    <w:name w:val="Rodapé Char"/>
    <w:basedOn w:val="DefaultParagraphFont"/>
    <w:uiPriority w:val="99"/>
    <w:qFormat/>
    <w:rsid w:val="00a773fe"/>
    <w:rPr>
      <w:sz w:val="22"/>
      <w:szCs w:val="22"/>
      <w:lang w:eastAsia="en-US"/>
    </w:rPr>
  </w:style>
  <w:style w:type="paragraph" w:styleId="Ttulo">
    <w:name w:val="Título"/>
    <w:basedOn w:val="Normal"/>
    <w:next w:val="Corpodotexto"/>
    <w:qFormat/>
    <w:pPr>
      <w:keepNext w:val="true"/>
      <w:spacing w:before="240" w:after="120"/>
    </w:pPr>
    <w:rPr>
      <w:rFonts w:ascii="Liberation Sans" w:hAnsi="Liberation Sans" w:eastAsia="Microsoft YaHei" w:cs="Arial"/>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cs="Arial"/>
    </w:rPr>
  </w:style>
  <w:style w:type="paragraph" w:styleId="Legenda">
    <w:name w:val="Caption"/>
    <w:basedOn w:val="Normal"/>
    <w:qFormat/>
    <w:pPr>
      <w:suppressLineNumbers/>
      <w:spacing w:before="120" w:after="120"/>
    </w:pPr>
    <w:rPr>
      <w:rFonts w:cs="Arial"/>
      <w:i/>
      <w:iCs/>
      <w:sz w:val="24"/>
      <w:szCs w:val="24"/>
    </w:rPr>
  </w:style>
  <w:style w:type="paragraph" w:styleId="Ndice" w:customStyle="1">
    <w:name w:val="Índice"/>
    <w:basedOn w:val="Normal"/>
    <w:qFormat/>
    <w:pPr>
      <w:suppressLineNumbers/>
    </w:pPr>
    <w:rPr>
      <w:rFonts w:cs="Arial"/>
    </w:rPr>
  </w:style>
  <w:style w:type="paragraph" w:styleId="Ttulododocumento">
    <w:name w:val="Title"/>
    <w:basedOn w:val="Normal"/>
    <w:next w:val="Corpodotexto"/>
    <w:qFormat/>
    <w:pPr>
      <w:keepNext w:val="true"/>
      <w:spacing w:before="240" w:after="120"/>
    </w:pPr>
    <w:rPr>
      <w:rFonts w:ascii="Liberation Sans" w:hAnsi="Liberation Sans" w:eastAsia="Microsoft YaHei" w:cs="Arial"/>
      <w:sz w:val="28"/>
      <w:szCs w:val="28"/>
    </w:rPr>
  </w:style>
  <w:style w:type="paragraph" w:styleId="Caption">
    <w:name w:val="caption"/>
    <w:basedOn w:val="Normal"/>
    <w:qFormat/>
    <w:pPr>
      <w:suppressLineNumbers/>
      <w:spacing w:before="120" w:after="120"/>
    </w:pPr>
    <w:rPr>
      <w:rFonts w:cs="Arial"/>
      <w:i/>
      <w:iCs/>
      <w:sz w:val="24"/>
      <w:szCs w:val="24"/>
    </w:rPr>
  </w:style>
  <w:style w:type="paragraph" w:styleId="CabealhoeRodap" w:customStyle="1">
    <w:name w:val="Cabeçalho e Rodapé"/>
    <w:basedOn w:val="Normal"/>
    <w:qFormat/>
    <w:pPr/>
    <w:rPr/>
  </w:style>
  <w:style w:type="paragraph" w:styleId="Cabealho">
    <w:name w:val="Header"/>
    <w:basedOn w:val="Normal"/>
    <w:link w:val="CabealhoChar"/>
    <w:unhideWhenUsed/>
    <w:rsid w:val="00a773fe"/>
    <w:pPr>
      <w:tabs>
        <w:tab w:val="clear" w:pos="708"/>
        <w:tab w:val="center" w:pos="4252" w:leader="none"/>
        <w:tab w:val="right" w:pos="8504" w:leader="none"/>
      </w:tabs>
      <w:spacing w:lineRule="auto" w:line="240" w:before="0" w:after="0"/>
    </w:pPr>
    <w:rPr/>
  </w:style>
  <w:style w:type="paragraph" w:styleId="Rodap">
    <w:name w:val="Footer"/>
    <w:basedOn w:val="Normal"/>
    <w:link w:val="RodapChar"/>
    <w:unhideWhenUsed/>
    <w:rsid w:val="00a773fe"/>
    <w:pPr>
      <w:tabs>
        <w:tab w:val="clear" w:pos="708"/>
        <w:tab w:val="center" w:pos="4252" w:leader="none"/>
        <w:tab w:val="right" w:pos="8504" w:leader="none"/>
      </w:tabs>
      <w:spacing w:lineRule="auto" w:line="240" w:before="0" w:after="0"/>
    </w:pPr>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 w:type="table" w:styleId="Tabelacomgrade">
    <w:name w:val="Table Grid"/>
    <w:basedOn w:val="Tabelanormal"/>
    <w:uiPriority w:val="39"/>
    <w:rsid w:val="00c0498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TotalTime>
  <Application>LibreOffice/7.4.2.3$Windows_X86_64 LibreOffice_project/382eef1f22670f7f4118c8c2dd222ec7ad009daf</Application>
  <AppVersion>15.0000</AppVersion>
  <Pages>2</Pages>
  <Words>529</Words>
  <Characters>2983</Characters>
  <CharactersWithSpaces>3455</CharactersWithSpaces>
  <Paragraphs>70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2022-11-22T18:44:00Z</dcterms:created>
  <dc:creator>Legislativo01</dc:creator>
  <dc:description/>
  <dc:language>pt-BR</dc:language>
  <cp:lastModifiedBy/>
  <cp:lastPrinted>2022-11-17T16:38:00Z</cp:lastPrinted>
  <dcterms:modified xsi:type="dcterms:W3CDTF">2024-11-22T10:05:22Z</dcterms:modified>
  <cp:revision>47</cp:revision>
  <dc:subject/>
  <dc:title/>
</cp:coreProperties>
</file>

<file path=docProps/custom.xml><?xml version="1.0" encoding="utf-8"?>
<Properties xmlns="http://schemas.openxmlformats.org/officeDocument/2006/custom-properties" xmlns:vt="http://schemas.openxmlformats.org/officeDocument/2006/docPropsVTypes"/>
</file>